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2000"/>
      </w:pPr>
    </w:p>
    <w:p>
      <w:pPr>
        <w:pStyle w:val="Title"/>
      </w:pPr>
      <w:r>
        <w:t xml:space="preserve">Azure KI-Betriebsplattform</w:t>
      </w:r>
    </w:p>
    <w:p>
      <w:pPr>
        <w:spacing w:after="200"/>
        <w:jc w:val="center"/>
      </w:pPr>
      <w:r>
        <w:rPr>
          <w:rFonts w:ascii="Arial" w:cs="Arial" w:eastAsia="Arial" w:hAnsi="Arial"/>
          <w:color w:val="444444"/>
          <w:sz w:val="28"/>
          <w:szCs w:val="28"/>
        </w:rPr>
        <w:t xml:space="preserve">Architekturvorschlag für regulatorisch konforme KI-Systeme</w:t>
      </w:r>
    </w:p>
    <w:p>
      <w:pPr>
        <w:spacing w:after="400"/>
        <w:jc w:val="center"/>
      </w:pPr>
      <w:r>
        <w:rPr>
          <w:rFonts w:ascii="Arial" w:cs="Arial" w:eastAsia="Arial" w:hAnsi="Arial"/>
          <w:color w:val="666666"/>
          <w:sz w:val="24"/>
          <w:szCs w:val="24"/>
        </w:rPr>
        <w:t xml:space="preserve">EU AI Act | DSGVO | DORA | NIS 2 | ISO 27001</w:t>
      </w:r>
    </w:p>
    <w:p>
      <w:pPr>
        <w:spacing w:before="1500"/>
      </w:pPr>
    </w:p>
    <w:p>
      <w:pPr>
        <w:jc w:val="center"/>
      </w:pPr>
      <w:r>
        <w:rPr>
          <w:rFonts w:ascii="Arial" w:cs="Arial" w:eastAsia="Arial" w:hAnsi="Arial"/>
          <w:color w:val="888888"/>
          <w:sz w:val="22"/>
          <w:szCs w:val="22"/>
        </w:rPr>
        <w:t xml:space="preserve">Version 1.0 – Dezember 2024</w:t>
      </w:r>
    </w:p>
    <w:p>
      <w:r>
        <w:br w:type="page"/>
      </w:r>
    </w:p>
    <w:p>
      <w:pPr>
        <w:pStyle w:val="Heading1"/>
      </w:pPr>
      <w:r>
        <w:t xml:space="preserve">1. Executive Summary</w:t>
      </w:r>
    </w:p>
    <w:p>
      <w:pPr>
        <w:spacing w:after="200"/>
      </w:pPr>
      <w:r>
        <w:rPr>
          <w:rFonts w:ascii="Arial" w:cs="Arial" w:eastAsia="Arial" w:hAnsi="Arial"/>
          <w:sz w:val="22"/>
          <w:szCs w:val="22"/>
        </w:rPr>
        <w:t xml:space="preserve">Dieses Dokument beschreibt eine Azure-basierte Referenzarchitektur für den Betrieb von KI-Systemen unter Berücksichtigung der wichtigsten europäischen und internationalen Regularien. Die Architektur adressiert sowohl technische Anforderungen an moderne KI-Workloads (Agentic AI, LLM-Integration, Vektor-Datenbanken) als auch umfassende Compliance-Anforderungen.</w:t>
      </w:r>
    </w:p>
    <w:p>
      <w:pPr>
        <w:spacing w:after="200"/>
      </w:pPr>
      <w:r>
        <w:rPr>
          <w:rFonts w:ascii="Arial" w:cs="Arial" w:eastAsia="Arial" w:hAnsi="Arial"/>
          <w:sz w:val="22"/>
          <w:szCs w:val="22"/>
        </w:rPr>
        <w:t xml:space="preserve">Die vorgeschlagene Lösung basiert auf dem Azure Cloud Adoption Framework und implementiert eine Hub-Spoke-Netzwerktopologie mit durchgängiger Verschlüsselung, Zero-Trust-Prinzipien und umfassendem Audit-Logging.</w:t>
      </w:r>
    </w:p>
    <w:p>
      <w:pPr>
        <w:pStyle w:val="Heading1"/>
      </w:pPr>
      <w:r>
        <w:t xml:space="preserve">2. Regulatorischer Rahmen</w:t>
      </w:r>
    </w:p>
    <w:p>
      <w:pPr>
        <w:pStyle w:val="Heading2"/>
      </w:pPr>
      <w:r>
        <w:t xml:space="preserve">2.1 EU AI Act</w:t>
      </w: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>Der EU AI Act klassifiziert KI-Systeme nach Risikoklassen und fordert für Hochrisiko-Systeme umfassende Dokumentation, Risikomanagement, Datenqualität und menschliche Aufsicht. Die Architektur berücksichtigt: Transparenzanforderungen durch Logging und Audit-Trails, technische Dokumentation aller Modelle und Datenflüsse, robuste Überwachung und Qualitätssicherung sowie Human-in-the-Loop-Mechanismen.</w:t>
      </w:r>
    </w:p>
    <w:p>
      <w:pPr>
        <w:pStyle w:val="Heading2"/>
      </w:pPr>
      <w:r>
        <w:t xml:space="preserve">2.2 DSGVO</w:t>
      </w: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>Die Datenschutz-Grundverordnung erfordert: Rechtmäßigkeit der Verarbeitung, Datenminimierung, Speicherbegrenzung, Integrität und Vertraulichkeit, Betroffenenrechte (Auskunft, Löschung, Berichtigung), Privacy by Design und Default sowie Auftragsverarbeitungsverträge mit Cloud-Providern.</w:t>
      </w:r>
    </w:p>
    <w:p>
      <w:pPr>
        <w:pStyle w:val="Heading2"/>
      </w:pPr>
      <w:r>
        <w:t xml:space="preserve">2.3 DORA</w:t>
      </w: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>Der Digital Operational Resilience Act für den Finanzsektor fordert: ICT-Risikomanagement-Framework, Incident Management und Reporting, regelmäßige Resilienztests, Third-Party-Risikomanagement sowie Informationsaustausch über Cyberbedrohungen.</w:t>
      </w:r>
    </w:p>
    <w:p>
      <w:pPr>
        <w:pStyle w:val="Heading2"/>
      </w:pPr>
      <w:r>
        <w:t xml:space="preserve">2.4 NIS 2</w:t>
      </w: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>Die NIS-2-Richtlinie erweitert die Cybersicherheitsanforderungen: Risikomanagementmaßnahmen, Incident Handling, Business Continuity, Supply Chain Security, Netzwerk- und Informationssicherheit sowie Verschlüsselung und Multi-Faktor-Authentifizierung.</w:t>
      </w:r>
    </w:p>
    <w:p>
      <w:pPr>
        <w:pStyle w:val="Heading2"/>
      </w:pPr>
      <w:r>
        <w:t xml:space="preserve">2.5 ISO 27001</w:t>
      </w: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>Der internationale Standard für Informationssicherheits-Managementsysteme (ISMS) bietet den Rahmen für: systematisches Risikomanagement, Sicherheitsrichtlinien und -kontrollen, kontinuierliche Verbesserung sowie regelmäßige Audits und Zertifizierung.</w:t>
      </w:r>
    </w:p>
    <w:p>
      <w:r>
        <w:br w:type="page"/>
      </w:r>
    </w:p>
    <w:p>
      <w:pPr>
        <w:pStyle w:val="Heading1"/>
      </w:pPr>
      <w:r>
        <w:t xml:space="preserve">3. Architektur-Übersicht</w:t>
      </w:r>
    </w:p>
    <w:p>
      <w:pPr>
        <w:pStyle w:val="Heading2"/>
      </w:pPr>
      <w:r>
        <w:t xml:space="preserve">3.1 Netzwerktopologie</w:t>
      </w:r>
    </w:p>
    <w:p>
      <w:pPr>
        <w:spacing w:after="200"/>
      </w:pPr>
      <w:r>
        <w:rPr>
          <w:rFonts w:ascii="Arial" w:cs="Arial" w:eastAsia="Arial" w:hAnsi="Arial"/>
          <w:sz w:val="22"/>
          <w:szCs w:val="22"/>
        </w:rPr>
        <w:t xml:space="preserve">Die Architektur basiert auf einer Hub-Spoke-Topologie mit Azure Virtual WAN oder einem zentralen Hub-VNet. Der Hub enthält zentrale Netzwerkdienste (Firewall, Bastion, VPN Gateway), während die Spokes nach Funktionsbereichen segmentiert sind: Compute-Spoke für Kubernetes und Container-Workloads, Data-Spoke für Datenbanken und Storage, Management-Spoke für DevOps und Monitoring sowie einen DMZ-Spoke für externe Zugänge.</w:t>
      </w:r>
    </w:p>
    <w:p>
      <w:pPr>
        <w:pStyle w:val="Heading2"/>
      </w:pPr>
      <w:r>
        <w:t xml:space="preserve">3.2 Sicherheitszonen</w:t>
      </w: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>Die Architektur definiert drei Sicherheitszonen: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Public Zone: WAF, Application Gateway, externe Load Balancer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Private Zone: Kubernetes-Cluster, Datenbanken, interne Services</w:t>
      </w:r>
    </w:p>
    <w:p>
      <w:pPr>
        <w:pStyle w:val="ListParagraph"/>
        <w:numPr>
          <w:ilvl w:val="0"/>
          <w:numId w:val="2"/>
        </w:numPr>
        <w:spacing w:after="200"/>
      </w:pPr>
      <w:r>
        <w:rPr>
          <w:rFonts w:ascii="Arial" w:cs="Arial" w:eastAsia="Arial" w:hAnsi="Arial"/>
          <w:sz w:val="22"/>
          <w:szCs w:val="22"/>
        </w:rPr>
        <w:t xml:space="preserve">Management Zone: Bastion Host, DevOps-Tools, Monitoring</w:t>
      </w:r>
    </w:p>
    <w:p>
      <w:r>
        <w:br w:type="page"/>
      </w:r>
    </w:p>
    <w:p>
      <w:pPr>
        <w:pStyle w:val="Heading1"/>
      </w:pPr>
      <w:r>
        <w:t xml:space="preserve">4. Detaillierte Komponentenzuordnung</w:t>
      </w:r>
    </w:p>
    <w:p>
      <w:pPr>
        <w:pStyle w:val="Heading2"/>
      </w:pPr>
      <w:r>
        <w:t xml:space="preserve">4.1 Compute &amp; Container</w:t>
      </w:r>
    </w:p>
    <w:tbl>
      <w:tblPr>
        <w:tblW w:type="auto" w:w="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2800"/>
        <w:gridCol w:w="3760"/>
      </w:tblGrid>
      <w:tr>
        <w:trPr>
          <w:tblHeader/>
        </w:trP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Komponente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Azure Service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Compliance-Relevanz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Kubernetes Cluster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Kubernetes Service (AKS)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ISO 27001: A.12 Operations Security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NIS 2: Netzwerksicherheit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DORA: ICT-Risikomanagement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Container Registry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Container Registry (ACR)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ISO 27001: A.14 System Acquisition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EU AI Act: Dokumentation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NIS 2: Supply Chain Security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Cluster Management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Arc + GitOps (Flux)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ISO 27001: A.12.1 Operational Procedures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DORA: ICT Asset Management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Frontend Container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AKS + Azure Front Door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DSGVO: Verschlüsselung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NIS 2: Zugangskontrolle</w:t>
            </w:r>
          </w:p>
        </w:tc>
      </w:tr>
    </w:tbl>
    <w:p>
      <w:pPr>
        <w:spacing w:before="300"/>
      </w:pPr>
    </w:p>
    <w:p>
      <w:pPr>
        <w:pStyle w:val="Heading2"/>
      </w:pPr>
      <w:r>
        <w:t xml:space="preserve">4.2 KI-spezifische Komponenten</w:t>
      </w:r>
    </w:p>
    <w:tbl>
      <w:tblPr>
        <w:tblW w:type="auto" w:w="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2800"/>
        <w:gridCol w:w="3760"/>
      </w:tblGrid>
      <w:tr>
        <w:trPr>
          <w:tblHeader/>
        </w:trP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Komponente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Azure Service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Compliance-Relevanz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Agentic AI Platform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AI Studio + Semantic Kernel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EU AI Act: Art. 9 Risikomanagement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EU AI Act: Art. 13 Transparenz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ISO 27001: A.8 Asset Management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LLM Adapter / Router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API Management + AI Gateway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EU AI Act: Art. 14 Human Oversight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DSGVO: Art. 22 Automatisierte Entscheidungen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DORA: Third-Party-Risiko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Prompt Firewall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AI Content Safety + Custom Rules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EU AI Act: Art. 15 Accuracy/Robustness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ISO 27001: A.13 Communications Security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NIS 2: Incident Prevention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AI Model Scanning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Microsoft Defender for AI + Counterfit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EU AI Act: Art. 9 Risk Management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ISO 27001: A.12.6 Vulnerability Mgmt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DORA: ICT Testing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AI Interface Scanning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AI Studio Evaluation + Garak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EU AI Act: Art. 15 Robustness Testing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ISO 27001: A.14.2 Security in Dev</w:t>
            </w:r>
          </w:p>
        </w:tc>
      </w:tr>
    </w:tbl>
    <w:p>
      <w:r>
        <w:br w:type="page"/>
      </w:r>
    </w:p>
    <w:p>
      <w:pPr>
        <w:pStyle w:val="Heading2"/>
      </w:pPr>
      <w:r>
        <w:t xml:space="preserve">4.3 Netzwerk &amp; Security</w:t>
      </w:r>
    </w:p>
    <w:tbl>
      <w:tblPr>
        <w:tblW w:type="auto" w:w="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2800"/>
        <w:gridCol w:w="3760"/>
      </w:tblGrid>
      <w:tr>
        <w:trPr>
          <w:tblHeader/>
        </w:trP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Komponente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Azure Service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Compliance-Relevanz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Web Application Firewall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WAF (Application Gateway / Front Door)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ISO 27001: A.13.1 Network Security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NIS 2: Art. 21 Cybersecurity Measures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DORA: Art. 9 Protection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Load Balancer + TLS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Application Gateway v2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DSGVO: Art. 32 Verschlüsselung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ISO 27001: A.10 Cryptography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NIS 2: Verschlüsselungspflicht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API Gateway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API Management (Premium)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ISO 27001: A.9 Access Control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DSGVO: Zugriffsprotokolle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EU AI Act: API-Dokumentation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Network Firewall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Firewall Premium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ISO 27001: A.13.1 Network Controls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NIS 2: Segmentierung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DORA: Network Security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DDoS Protection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DDoS Protection Standard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NIS 2: Art. 21 Verfügbarkeit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DORA: Art. 11 Business Continuity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ISO 27001: A.17 BC Management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Private Connectivity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Private Link / Private Endpoints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DSGVO: Datenminimierung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ISO 27001: A.13.2 Information Transfer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NIS 2: Secure Communications</w:t>
            </w:r>
          </w:p>
        </w:tc>
      </w:tr>
    </w:tbl>
    <w:p>
      <w:pPr>
        <w:spacing w:before="300"/>
      </w:pPr>
    </w:p>
    <w:p>
      <w:pPr>
        <w:pStyle w:val="Heading2"/>
      </w:pPr>
      <w:r>
        <w:t xml:space="preserve">4.4 Identity &amp; Access Management</w:t>
      </w:r>
    </w:p>
    <w:tbl>
      <w:tblPr>
        <w:tblW w:type="auto" w:w="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2800"/>
        <w:gridCol w:w="3760"/>
      </w:tblGrid>
      <w:tr>
        <w:trPr>
          <w:tblHeader/>
        </w:trP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Komponente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Azure Service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Compliance-Relevanz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IAM (RBAC)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Microsoft Entra ID + Azure RBAC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ISO 27001: A.9.1 Access Control Policy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DSGVO: Art. 32 Zugriffskontrolle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NIS 2: Identity Management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LDAP Integration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Microsoft Entra Domain Services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ISO 27001: A.9.2 User Access Mgmt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DORA: Access Management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Privileged Access (PAM)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Microsoft Entra PIM + Bastion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ISO 27001: A.9.2.3 Privileged Access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NIS 2: Art. 21 Admin Access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DORA: Access Rights Management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Multi-Factor Auth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Microsoft Entra ID MFA + FIDO2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NIS 2: Art. 21 Multi-Factor Auth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ISO 27001: A.9.4 System Access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DSGVO: Technische Maßnahmen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Conditional Access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Microsoft Entra Conditional Access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ISO 27001: A.9.1.2 Network Access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NIS 2: Risiko-basierter Zugang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DORA: Logical Access Security</w:t>
            </w:r>
          </w:p>
        </w:tc>
      </w:tr>
    </w:tbl>
    <w:p>
      <w:r>
        <w:br w:type="page"/>
      </w:r>
    </w:p>
    <w:p>
      <w:pPr>
        <w:pStyle w:val="Heading2"/>
      </w:pPr>
      <w:r>
        <w:t xml:space="preserve">4.5 Daten-Layer</w:t>
      </w:r>
    </w:p>
    <w:tbl>
      <w:tblPr>
        <w:tblW w:type="auto" w:w="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2800"/>
        <w:gridCol w:w="3760"/>
      </w:tblGrid>
      <w:tr>
        <w:trPr>
          <w:tblHeader/>
        </w:trP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Komponente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Azure Service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Compliance-Relevanz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SQL Datenbank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SQL Database (Hyperscale)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DSGVO: Art. 17 Löschrecht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ISO 27001: A.8.2 Information Classification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DORA: Data Integrity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NoSQL Datenbank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Cosmos DB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DSGVO: Data Residency (EU)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ISO 27001: A.18.1 Compliance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NIS 2: Data Protection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Object Storage (S3)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Blob Storage (Data Lake Gen2)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DSGVO: Art. 32 Encryption at Rest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ISO 27001: A.10.1 Cryptographic Controls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EU AI Act: Training Data Storage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Vektor Datenbank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AI Search + Cosmos DB vCore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EU AI Act: Art. 10 Data Governance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DSGVO: Embedding-Verarbeitung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ISO 27001: A.8 Asset Management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Redis Cache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Cache for Redis (Enterprise)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ISO 27001: A.12.1 Operational Procedures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DSGVO: Session Management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NIS 2: Data in Transit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Graph Datenbank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Cosmos DB (Gremlin API)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EU AI Act: Knowledge Graph Governance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ISO 27001: A.8.1 Asset Inventory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DSGVO: Beziehungsdaten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Big Data Platform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Synapse Analytics + Databricks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EU AI Act: Art. 10 Training Data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DSGVO: Pseudonymisierung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ISO 27001: A.8.2 Classification</w:t>
            </w:r>
          </w:p>
        </w:tc>
      </w:tr>
    </w:tbl>
    <w:p>
      <w:pPr>
        <w:spacing w:before="300"/>
      </w:pPr>
    </w:p>
    <w:p>
      <w:pPr>
        <w:pStyle w:val="Heading2"/>
      </w:pPr>
      <w:r>
        <w:t xml:space="preserve">4.6 Messaging &amp; Integration</w:t>
      </w:r>
    </w:p>
    <w:tbl>
      <w:tblPr>
        <w:tblW w:type="auto" w:w="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2800"/>
        <w:gridCol w:w="3760"/>
      </w:tblGrid>
      <w:tr>
        <w:trPr>
          <w:tblHeader/>
        </w:trP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Komponente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Azure Service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Compliance-Relevanz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Apache Kafka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Event Hubs (Kafka API)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ISO 27001: A.12.4 Logging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DORA: Event Traceability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EU AI Act: Audit Trail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Message Queues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Service Bus (Premium)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ISO 27001: A.13.2 Message Security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DORA: Transaction Integrity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NIS 2: Secure Messaging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Event Processing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Event Grid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ISO 27001: A.12.1 Event Management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DORA: Real-time Processing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NIS 2: Incident Triggers</w:t>
            </w:r>
          </w:p>
        </w:tc>
      </w:tr>
    </w:tbl>
    <w:p>
      <w:r>
        <w:br w:type="page"/>
      </w:r>
    </w:p>
    <w:p>
      <w:pPr>
        <w:pStyle w:val="Heading2"/>
      </w:pPr>
      <w:r>
        <w:t xml:space="preserve">4.7 DevOps &amp; CI/CD</w:t>
      </w:r>
    </w:p>
    <w:tbl>
      <w:tblPr>
        <w:tblW w:type="auto" w:w="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2800"/>
        <w:gridCol w:w="3760"/>
      </w:tblGrid>
      <w:tr>
        <w:trPr>
          <w:tblHeader/>
        </w:trP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Komponente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Azure Service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Compliance-Relevanz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Git Repositories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Repos / GitHub Enterprise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ISO 27001: A.14.2 Secure Development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EU AI Act: Code Documentation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DORA: Change Management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CI/CD Pipelines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Pipelines / GitHub Actions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ISO 27001: A.14.2.2 Change Control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NIS 2: Secure Deployment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DORA: Release Management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Build Runner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DevOps Agents (Self-hosted)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ISO 27001: A.14.2.6 Secure Dev Env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NIS 2: Supply Chain Security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IDE Integration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GitHub Codespaces / VS Code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ISO 27001: A.14.2 Development Security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DORA: Developer Access Controls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Infrastructure as Code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Terraform + Azure Verified Modules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ISO 27001: A.12.1.2 Change Management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NIS 2: Configuration Management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DORA: ICT Asset Documentation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AI Agent Build/Test/Deploy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ML Pipelines + AI Studio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EU AI Act: Art. 9 Testing Requirements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EU AI Act: Art. 17 Quality Management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ISO 27001: A.14.2.8 System Testing</w:t>
            </w:r>
          </w:p>
        </w:tc>
      </w:tr>
    </w:tbl>
    <w:p>
      <w:pPr>
        <w:spacing w:before="300"/>
      </w:pPr>
    </w:p>
    <w:p>
      <w:pPr>
        <w:pStyle w:val="Heading2"/>
      </w:pPr>
      <w:r>
        <w:t xml:space="preserve">4.8 Observability &amp; Security Operations</w:t>
      </w:r>
    </w:p>
    <w:tbl>
      <w:tblPr>
        <w:tblW w:type="auto" w:w="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2800"/>
        <w:gridCol w:w="3760"/>
      </w:tblGrid>
      <w:tr>
        <w:trPr>
          <w:tblHeader/>
        </w:trP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Komponente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Azure Service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Compliance-Relevanz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Logging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Monitor Logs + Log Analytics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ISO 27001: A.12.4 Logging &amp; Monitoring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EU AI Act: Art. 12 Record-keeping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DORA: Art. 12 Logging Requirements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SIEM (Splunk)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Microsoft Sentinel + Splunk Integration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NIS 2: Art. 23 Incident Reporting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ISO 27001: A.16 Incident Management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DORA: Art. 19 Incident Reporting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Monitoring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Monitor + Application Insights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DORA: Art. 10 Detection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ISO 27001: A.12.4.1 Event Logging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NIS 2: Continuous Monitoring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Metriken (Grafana)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Managed Grafana + Prometheus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ISO 27001: A.12.1.3 Capacity Management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DORA: Performance Monitoring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EU AI Act: Model Performance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Real-time Analytics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Stream Analytics + Event Hubs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DORA: Real-time Detection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NIS 2: Threat Detection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ISO 27001: A.12.4 Monitoring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Vulnerability Management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Microsoft Defender for Cloud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ISO 27001: A.12.6 Vulnerability Mgmt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NIS 2: Art. 21 Risk Management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DORA: Art. 8 Vulnerability Assessment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Bastion Host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Bastion (Premium)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ISO 27001: A.9.4.2 Secure Log-on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NIS 2: Secure Admin Access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DORA: Privileged Access</w:t>
            </w:r>
          </w:p>
        </w:tc>
      </w:tr>
    </w:tbl>
    <w:p>
      <w:r>
        <w:br w:type="page"/>
      </w:r>
    </w:p>
    <w:p>
      <w:pPr>
        <w:pStyle w:val="Heading2"/>
      </w:pPr>
      <w:r>
        <w:t xml:space="preserve">4.9 Zertifikatsmanagement</w:t>
      </w:r>
    </w:p>
    <w:tbl>
      <w:tblPr>
        <w:tblW w:type="auto" w:w="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2800"/>
        <w:gridCol w:w="3760"/>
      </w:tblGrid>
      <w:tr>
        <w:trPr>
          <w:tblHeader/>
        </w:trP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Komponente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Azure Service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Compliance-Relevanz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Private Zertifikate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Key Vault (Managed HSM)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ISO 27001: A.10.1 Cryptographic Policy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DSGVO: Art. 32 Verschlüsselung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NIS 2: Key Management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Öffentliche Zertifikate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App Service Certificates + DigiCert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ISO 27001: A.10.1.2 Key Management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NIS 2: PKI Requirements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Zertifikats-Lifecycle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Key Vault Auto-Renewal + Event Grid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ISO 27001: A.10.1 Certificate Lifecycle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DORA: Cryptographic Controls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Secrets Management</w:t>
            </w:r>
          </w:p>
        </w:tc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Key Vault + Managed Identity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ISO 27001: A.9.4.3 Password Management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DSGVO: Credential Protection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NIS 2: Secrets Handling</w:t>
            </w:r>
          </w:p>
        </w:tc>
      </w:tr>
    </w:tbl>
    <w:p>
      <w:r>
        <w:br w:type="page"/>
      </w:r>
    </w:p>
    <w:p>
      <w:pPr>
        <w:pStyle w:val="Heading1"/>
      </w:pPr>
      <w:r>
        <w:t xml:space="preserve">5. Compliance-Matrix</w:t>
      </w:r>
    </w:p>
    <w:p>
      <w:pPr>
        <w:spacing w:after="200"/>
      </w:pPr>
      <w:r>
        <w:rPr>
          <w:rFonts w:ascii="Arial" w:cs="Arial" w:eastAsia="Arial" w:hAnsi="Arial"/>
          <w:sz w:val="22"/>
          <w:szCs w:val="22"/>
        </w:rPr>
        <w:t xml:space="preserve">Die folgende Matrix zeigt die Zuordnung der Architekturkomponenten zu den regulatorischen Anforderungen:</w:t>
      </w:r>
    </w:p>
    <w:tbl>
      <w:tblPr>
        <w:tblW w:type="auto" w:w="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1272"/>
        <w:gridCol w:w="1272"/>
        <w:gridCol w:w="1272"/>
        <w:gridCol w:w="1272"/>
        <w:gridCol w:w="1272"/>
      </w:tblGrid>
      <w:tr>
        <w:trPr>
          <w:tblHeader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Architekturbereich</w:t>
            </w:r>
          </w:p>
        </w:tc>
        <w:tc>
          <w:tcPr>
            <w:tcW w:type="dxa" w:w="12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EU AI Act</w:t>
            </w:r>
          </w:p>
        </w:tc>
        <w:tc>
          <w:tcPr>
            <w:tcW w:type="dxa" w:w="12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DSGVO</w:t>
            </w:r>
          </w:p>
        </w:tc>
        <w:tc>
          <w:tcPr>
            <w:tcW w:type="dxa" w:w="12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DORA</w:t>
            </w:r>
          </w:p>
        </w:tc>
        <w:tc>
          <w:tcPr>
            <w:tcW w:type="dxa" w:w="12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NIS 2</w:t>
            </w:r>
          </w:p>
        </w:tc>
        <w:tc>
          <w:tcPr>
            <w:tcW w:type="dxa" w:w="12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ISO 27001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Compute &amp; Container</w:t>
            </w:r>
          </w:p>
        </w:tc>
        <w:tc>
          <w:tcPr>
            <w:tcW w:type="dxa" w:w="12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○</w:t>
            </w:r>
          </w:p>
        </w:tc>
        <w:tc>
          <w:tcPr>
            <w:tcW w:type="dxa" w:w="12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●</w:t>
            </w:r>
          </w:p>
        </w:tc>
        <w:tc>
          <w:tcPr>
            <w:tcW w:type="dxa" w:w="12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●</w:t>
            </w:r>
          </w:p>
        </w:tc>
        <w:tc>
          <w:tcPr>
            <w:tcW w:type="dxa" w:w="12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●</w:t>
            </w:r>
          </w:p>
        </w:tc>
        <w:tc>
          <w:tcPr>
            <w:tcW w:type="dxa" w:w="12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●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KI-Komponenten</w:t>
            </w:r>
          </w:p>
        </w:tc>
        <w:tc>
          <w:tcPr>
            <w:tcW w:type="dxa" w:w="12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●</w:t>
            </w:r>
          </w:p>
        </w:tc>
        <w:tc>
          <w:tcPr>
            <w:tcW w:type="dxa" w:w="12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●</w:t>
            </w:r>
          </w:p>
        </w:tc>
        <w:tc>
          <w:tcPr>
            <w:tcW w:type="dxa" w:w="12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○</w:t>
            </w:r>
          </w:p>
        </w:tc>
        <w:tc>
          <w:tcPr>
            <w:tcW w:type="dxa" w:w="12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○</w:t>
            </w:r>
          </w:p>
        </w:tc>
        <w:tc>
          <w:tcPr>
            <w:tcW w:type="dxa" w:w="12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●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Netzwerk &amp; Security</w:t>
            </w:r>
          </w:p>
        </w:tc>
        <w:tc>
          <w:tcPr>
            <w:tcW w:type="dxa" w:w="12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○</w:t>
            </w:r>
          </w:p>
        </w:tc>
        <w:tc>
          <w:tcPr>
            <w:tcW w:type="dxa" w:w="12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●</w:t>
            </w:r>
          </w:p>
        </w:tc>
        <w:tc>
          <w:tcPr>
            <w:tcW w:type="dxa" w:w="12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●</w:t>
            </w:r>
          </w:p>
        </w:tc>
        <w:tc>
          <w:tcPr>
            <w:tcW w:type="dxa" w:w="12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●</w:t>
            </w:r>
          </w:p>
        </w:tc>
        <w:tc>
          <w:tcPr>
            <w:tcW w:type="dxa" w:w="12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●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Identity &amp; Access</w:t>
            </w:r>
          </w:p>
        </w:tc>
        <w:tc>
          <w:tcPr>
            <w:tcW w:type="dxa" w:w="12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●</w:t>
            </w:r>
          </w:p>
        </w:tc>
        <w:tc>
          <w:tcPr>
            <w:tcW w:type="dxa" w:w="12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●</w:t>
            </w:r>
          </w:p>
        </w:tc>
        <w:tc>
          <w:tcPr>
            <w:tcW w:type="dxa" w:w="12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●</w:t>
            </w:r>
          </w:p>
        </w:tc>
        <w:tc>
          <w:tcPr>
            <w:tcW w:type="dxa" w:w="12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●</w:t>
            </w:r>
          </w:p>
        </w:tc>
        <w:tc>
          <w:tcPr>
            <w:tcW w:type="dxa" w:w="12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●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Daten-Layer</w:t>
            </w:r>
          </w:p>
        </w:tc>
        <w:tc>
          <w:tcPr>
            <w:tcW w:type="dxa" w:w="12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●</w:t>
            </w:r>
          </w:p>
        </w:tc>
        <w:tc>
          <w:tcPr>
            <w:tcW w:type="dxa" w:w="12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●</w:t>
            </w:r>
          </w:p>
        </w:tc>
        <w:tc>
          <w:tcPr>
            <w:tcW w:type="dxa" w:w="12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●</w:t>
            </w:r>
          </w:p>
        </w:tc>
        <w:tc>
          <w:tcPr>
            <w:tcW w:type="dxa" w:w="12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○</w:t>
            </w:r>
          </w:p>
        </w:tc>
        <w:tc>
          <w:tcPr>
            <w:tcW w:type="dxa" w:w="12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●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Messaging &amp; Integration</w:t>
            </w:r>
          </w:p>
        </w:tc>
        <w:tc>
          <w:tcPr>
            <w:tcW w:type="dxa" w:w="12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●</w:t>
            </w:r>
          </w:p>
        </w:tc>
        <w:tc>
          <w:tcPr>
            <w:tcW w:type="dxa" w:w="12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○</w:t>
            </w:r>
          </w:p>
        </w:tc>
        <w:tc>
          <w:tcPr>
            <w:tcW w:type="dxa" w:w="12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●</w:t>
            </w:r>
          </w:p>
        </w:tc>
        <w:tc>
          <w:tcPr>
            <w:tcW w:type="dxa" w:w="12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○</w:t>
            </w:r>
          </w:p>
        </w:tc>
        <w:tc>
          <w:tcPr>
            <w:tcW w:type="dxa" w:w="12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●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DevOps &amp; CI/CD</w:t>
            </w:r>
          </w:p>
        </w:tc>
        <w:tc>
          <w:tcPr>
            <w:tcW w:type="dxa" w:w="12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●</w:t>
            </w:r>
          </w:p>
        </w:tc>
        <w:tc>
          <w:tcPr>
            <w:tcW w:type="dxa" w:w="12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○</w:t>
            </w:r>
          </w:p>
        </w:tc>
        <w:tc>
          <w:tcPr>
            <w:tcW w:type="dxa" w:w="12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●</w:t>
            </w:r>
          </w:p>
        </w:tc>
        <w:tc>
          <w:tcPr>
            <w:tcW w:type="dxa" w:w="12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●</w:t>
            </w:r>
          </w:p>
        </w:tc>
        <w:tc>
          <w:tcPr>
            <w:tcW w:type="dxa" w:w="12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●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Observability &amp; SecOps</w:t>
            </w:r>
          </w:p>
        </w:tc>
        <w:tc>
          <w:tcPr>
            <w:tcW w:type="dxa" w:w="12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●</w:t>
            </w:r>
          </w:p>
        </w:tc>
        <w:tc>
          <w:tcPr>
            <w:tcW w:type="dxa" w:w="12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●</w:t>
            </w:r>
          </w:p>
        </w:tc>
        <w:tc>
          <w:tcPr>
            <w:tcW w:type="dxa" w:w="12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●</w:t>
            </w:r>
          </w:p>
        </w:tc>
        <w:tc>
          <w:tcPr>
            <w:tcW w:type="dxa" w:w="12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●</w:t>
            </w:r>
          </w:p>
        </w:tc>
        <w:tc>
          <w:tcPr>
            <w:tcW w:type="dxa" w:w="12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●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Zertifikatsmanagement</w:t>
            </w:r>
          </w:p>
        </w:tc>
        <w:tc>
          <w:tcPr>
            <w:tcW w:type="dxa" w:w="12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○</w:t>
            </w:r>
          </w:p>
        </w:tc>
        <w:tc>
          <w:tcPr>
            <w:tcW w:type="dxa" w:w="12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●</w:t>
            </w:r>
          </w:p>
        </w:tc>
        <w:tc>
          <w:tcPr>
            <w:tcW w:type="dxa" w:w="12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●</w:t>
            </w:r>
          </w:p>
        </w:tc>
        <w:tc>
          <w:tcPr>
            <w:tcW w:type="dxa" w:w="12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●</w:t>
            </w:r>
          </w:p>
        </w:tc>
        <w:tc>
          <w:tcPr>
            <w:tcW w:type="dxa" w:w="12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●</w:t>
            </w:r>
          </w:p>
        </w:tc>
      </w:tr>
    </w:tbl>
    <w:p>
      <w:pPr>
        <w:spacing w:before="100" w:after="200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● = Primäre Relevanz | ○ = Sekundäre Relevanz</w:t>
      </w:r>
    </w:p>
    <w:p>
      <w:r>
        <w:br w:type="page"/>
      </w:r>
    </w:p>
    <w:p>
      <w:pPr>
        <w:pStyle w:val="Heading1"/>
      </w:pPr>
      <w:r>
        <w:t xml:space="preserve">6. Architekturdiagramm-Beschreibung</w:t>
      </w:r>
    </w:p>
    <w:p>
      <w:pPr>
        <w:spacing w:after="200"/>
      </w:pPr>
      <w:r>
        <w:rPr>
          <w:rFonts w:ascii="Arial" w:cs="Arial" w:eastAsia="Arial" w:hAnsi="Arial"/>
          <w:sz w:val="22"/>
          <w:szCs w:val="22"/>
        </w:rPr>
        <w:t xml:space="preserve">Die folgende textuelle Beschreibung dient als Grundlage für die Erstellung eines visuellen Architekturdiagramms in Tools wie Visio, Draw.io oder Lucidchart.</w:t>
      </w:r>
    </w:p>
    <w:p>
      <w:pPr>
        <w:pStyle w:val="Heading2"/>
      </w:pPr>
      <w:r>
        <w:t xml:space="preserve">6.1 Layer-Struktur (von außen nach innen)</w:t>
      </w:r>
    </w:p>
    <w:p>
      <w:pPr>
        <w:pStyle w:val="Heading3"/>
      </w:pPr>
      <w:r>
        <w:t xml:space="preserve">Internet / External Layer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Azure Front Door mit WAF-Policies (OWASP, Custom Rules)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Azure DDoS Protection Standard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Public DNS (Azure DNS)</w:t>
      </w:r>
    </w:p>
    <w:p>
      <w:pPr>
        <w:pStyle w:val="Heading3"/>
      </w:pPr>
      <w:r>
        <w:t xml:space="preserve">DMZ / Edge Layer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Azure Application Gateway v2 (TLS-Terminierung, SSL-Offloading)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Azure API Management (Premium Tier, VNET-integrated)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Azure AI Content Safety (Prompt Firewall)</w:t>
      </w:r>
    </w:p>
    <w:p>
      <w:pPr>
        <w:pStyle w:val="Heading3"/>
      </w:pPr>
      <w:r>
        <w:t xml:space="preserve">Application Layer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AKS Cluster (User Node Pools) für Frontend-Container und Backend-Services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AKS Cluster (GPU Node Pools) für KI-Worker und Model Inference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Azure AI Studio für Agentic AI Orchestration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LLM Router (Custom Service auf AKS)</w:t>
      </w:r>
    </w:p>
    <w:p>
      <w:pPr>
        <w:pStyle w:val="Heading3"/>
      </w:pPr>
      <w:r>
        <w:t xml:space="preserve">Data Layer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Azure SQL Database (Hyperscale) - Transaktionsdaten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Azure Cosmos DB - NoSQL und Graph (Gremlin)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Azure AI Search - Vektor-Datenbank für RAG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Azure Blob Storage (Data Lake Gen2) - Object Store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Azure Cache for Redis - Session und Caching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Azure Synapse Analytics - Big Data und Analytics</w:t>
      </w:r>
    </w:p>
    <w:p>
      <w:pPr>
        <w:pStyle w:val="Heading3"/>
      </w:pPr>
      <w:r>
        <w:t xml:space="preserve">Integration Layer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Azure Event Hubs (Kafka API) - Event Streaming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Azure Service Bus - Message Queues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Azure Event Grid - Event Routing</w:t>
      </w:r>
    </w:p>
    <w:p>
      <w:r>
        <w:br w:type="page"/>
      </w:r>
    </w:p>
    <w:p>
      <w:pPr>
        <w:pStyle w:val="Heading3"/>
      </w:pPr>
      <w:r>
        <w:t xml:space="preserve">Management Layer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Azure Bastion - Sichere Verwaltungszugriffe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Azure DevOps / GitHub Enterprise - CI/CD und Repos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Azure Monitor + Log Analytics - Logging und Metriken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Microsoft Sentinel - SIEM und SOAR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Azure Managed Grafana - Dashboards und Visualisierung</w:t>
      </w:r>
    </w:p>
    <w:p>
      <w:pPr>
        <w:pStyle w:val="Heading3"/>
      </w:pPr>
      <w:r>
        <w:t xml:space="preserve">Security &amp; Identity Layer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Microsoft Entra ID - Zentrales IAM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Microsoft Entra PIM - Privileged Identity Management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Azure Key Vault (Managed HSM) - Secrets und Zertifikate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Microsoft Defender for Cloud - Security Posture Management</w:t>
      </w:r>
    </w:p>
    <w:p>
      <w:pPr>
        <w:pStyle w:val="ListParagraph"/>
        <w:numPr>
          <w:ilvl w:val="0"/>
          <w:numId w:val="2"/>
        </w:numPr>
        <w:spacing w:after="200"/>
      </w:pPr>
      <w:r>
        <w:rPr>
          <w:rFonts w:ascii="Arial" w:cs="Arial" w:eastAsia="Arial" w:hAnsi="Arial"/>
          <w:sz w:val="22"/>
          <w:szCs w:val="22"/>
        </w:rPr>
        <w:t xml:space="preserve">Microsoft Defender for AI - AI-spezifische Threat Detection</w:t>
      </w:r>
    </w:p>
    <w:p>
      <w:pPr>
        <w:pStyle w:val="Heading2"/>
      </w:pPr>
      <w:r>
        <w:t xml:space="preserve">6.2 Netzwerk-Verbindungen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Hub-VNet: Enthält Azure Firewall, VPN Gateway, Bastion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Spoke-VNets: Compute, Data, Management - jeweils via VNet Peering verbunden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Private Endpoints: Alle PaaS-Services über Private Link erreichbar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NSG/ASG: Network Security Groups pro Subnet, Application Security Groups für Workloads</w:t>
      </w:r>
    </w:p>
    <w:p>
      <w:pPr>
        <w:pStyle w:val="ListParagraph"/>
        <w:numPr>
          <w:ilvl w:val="0"/>
          <w:numId w:val="2"/>
        </w:numPr>
        <w:spacing w:after="200"/>
      </w:pPr>
      <w:r>
        <w:rPr>
          <w:rFonts w:ascii="Arial" w:cs="Arial" w:eastAsia="Arial" w:hAnsi="Arial"/>
          <w:sz w:val="22"/>
          <w:szCs w:val="22"/>
        </w:rPr>
        <w:t xml:space="preserve">UDR: User Defined Routes für Firewall-Routing (0.0.0.0/0 → Azure Firewall)</w:t>
      </w:r>
    </w:p>
    <w:p>
      <w:r>
        <w:br w:type="page"/>
      </w:r>
    </w:p>
    <w:p>
      <w:pPr>
        <w:pStyle w:val="Heading1"/>
      </w:pPr>
      <w:r>
        <w:t xml:space="preserve">7. Implementierungsempfehlungen</w:t>
      </w:r>
    </w:p>
    <w:p>
      <w:pPr>
        <w:pStyle w:val="Heading2"/>
      </w:pPr>
      <w:r>
        <w:t xml:space="preserve">7.1 Phasenplanung</w:t>
      </w: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>Phase 1 – Foundation (4-6 Wochen): Aufbau der Netzwerkinfrastruktur (Hub-Spoke), Identity Foundation mit Entra ID, Key Vault und Secrets Management sowie Bastion und grundlegendes Monitoring.</w:t>
      </w: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>Phase 2 – Core Platform (6-8 Wochen): AKS-Cluster mit GPU-Nodes, Container Registry und GitOps, Basis-Datenbanken (SQL, Cosmos DB, Redis) und API Management.</w:t>
      </w: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>Phase 3 – AI Components (6-8 Wochen): Azure AI Studio und AI Search, LLM-Integration und Routing, Prompt Firewall und Content Safety sowie Model Scanning und Evaluation.</w:t>
      </w: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>Phase 4 – Advanced Features (4-6 Wochen): Big Data Platform (Synapse, Databricks), Event Streaming (Event Hubs, Service Bus), Advanced Monitoring (Sentinel, Grafana) und Vulnerability Management.</w:t>
      </w:r>
    </w:p>
    <w:p>
      <w:pPr>
        <w:spacing w:after="200"/>
      </w:pPr>
      <w:r>
        <w:rPr>
          <w:rFonts w:ascii="Arial" w:cs="Arial" w:eastAsia="Arial" w:hAnsi="Arial"/>
          <w:sz w:val="22"/>
          <w:szCs w:val="22"/>
        </w:rPr>
        <w:t xml:space="preserve">Phase 5 – Compliance &amp; Hardening (4-6 Wochen): Compliance-Dokumentation, Penetrationstests und Security Audits, ISO 27001 Pre-Assessment sowie Runbook- und Prozessdokumentation.</w:t>
      </w:r>
    </w:p>
    <w:p>
      <w:pPr>
        <w:pStyle w:val="Heading2"/>
      </w:pPr>
      <w:r>
        <w:t xml:space="preserve">7.2 Azure Landing Zone Alignment</w:t>
      </w:r>
    </w:p>
    <w:p>
      <w:pPr>
        <w:spacing w:after="200"/>
      </w:pPr>
      <w:r>
        <w:rPr>
          <w:rFonts w:ascii="Arial" w:cs="Arial" w:eastAsia="Arial" w:hAnsi="Arial"/>
          <w:sz w:val="22"/>
          <w:szCs w:val="22"/>
        </w:rPr>
        <w:t xml:space="preserve">Die Architektur folgt dem Azure Cloud Adoption Framework mit Enterprise-Scale Landing Zones. Dies umfasst Management Groups für Governance-Hierarchie, Azure Policy für Compliance-Enforcement, Azure Blueprints für standardisierte Deployments und Azure Resource Manager Templates über Terraform.</w:t>
      </w:r>
    </w:p>
    <w:p>
      <w:pPr>
        <w:pStyle w:val="Heading2"/>
      </w:pPr>
      <w:r>
        <w:t xml:space="preserve">7.3 Data Residency</w:t>
      </w:r>
    </w:p>
    <w:p>
      <w:pPr>
        <w:spacing w:after="200"/>
      </w:pPr>
      <w:r>
        <w:rPr>
          <w:rFonts w:ascii="Arial" w:cs="Arial" w:eastAsia="Arial" w:hAnsi="Arial"/>
          <w:sz w:val="22"/>
          <w:szCs w:val="22"/>
        </w:rPr>
        <w:t xml:space="preserve">Alle personenbezogenen Daten und KI-Modelle werden ausschließlich in EU-Regionen gehostet (empfohlen: West Europe, North Europe, Germany West Central). Azure Policy erzwingt regionale Einschränkungen, und geo-redundante Backups verbleiben innerhalb der EU.</w:t>
      </w:r>
    </w:p>
    <w:p>
      <w:pPr>
        <w:pStyle w:val="Heading2"/>
      </w:pPr>
      <w:r>
        <w:t xml:space="preserve">7.4 Kostenoptimierung</w:t>
      </w:r>
    </w:p>
    <w:p>
      <w:pPr>
        <w:spacing w:after="100"/>
      </w:pPr>
      <w:r>
        <w:rPr>
          <w:rFonts w:ascii="Arial" w:cs="Arial" w:eastAsia="Arial" w:hAnsi="Arial"/>
          <w:sz w:val="22"/>
          <w:szCs w:val="22"/>
        </w:rPr>
        <w:t xml:space="preserve">Für eine kosteneffiziente Implementierung werden folgende Maßnahmen empfohlen: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Reserved Instances für vorhersehbare Workloads (1-3 Jahre)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Spot Instances für KI-Training und Batch-Verarbeitung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Auto-Scaling für variable Workloads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Azure Hybrid Benefit für Windows- und SQL-Lizenzen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Storage Tiering für kosteneffiziente Datenhaltung</w:t>
      </w:r>
    </w:p>
    <w:p>
      <w:r>
        <w:br w:type="page"/>
      </w:r>
    </w:p>
    <w:p>
      <w:pPr>
        <w:pStyle w:val="Heading1"/>
      </w:pPr>
      <w:r>
        <w:t xml:space="preserve">8. Anhang: Azure Service Quick Reference</w:t>
      </w:r>
    </w:p>
    <w:tbl>
      <w:tblPr>
        <w:tblW w:type="auto" w:w="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500"/>
        <w:gridCol w:w="2500"/>
        <w:gridCol w:w="3360"/>
      </w:tblGrid>
      <w:tr>
        <w:trPr>
          <w:tblHeader/>
        </w:trP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Kategorie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Azure Service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SKU / Tier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Container Orchestration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Kubernetes Service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Standard Tier + GPU Node Pools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Container Registry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Container Registry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Premium (Geo-Replication)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API Management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API Management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Premium (VNET Integration)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Load Balancer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Application Gateway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v2 WAF_v2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CDN / Global LB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Front Door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Premium (WAF)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Firewall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Firewall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Premium (TLS Inspection)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SQL Database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SQL Database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Hyperscale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NoSQL / Graph DB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Cosmos DB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Provisioned Throughput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Vector Database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AI Search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Standard S2+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Object Storage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Blob Storage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Data Lake Gen2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Cache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Cache for Redis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Enterprise E10+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Event Streaming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Event Hubs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Premium (Kafka API)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Message Queue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Service Bus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Premium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Identity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Microsoft Entra ID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P2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PAM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Microsoft Entra PIM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Included in P2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Secrets / Certificates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Key Vault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Premium (HSM)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SIEM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Microsoft Sentinel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Pay-as-you-go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Monitoring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Monitor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Log Analytics Workspace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Dashboards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Managed Grafana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Standard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DevOps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DevOps / GitHub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Enterprise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AI Platform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AI Studio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Enterprise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AI Safety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Azure AI Content Safety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Standard</w:t>
            </w:r>
          </w:p>
        </w:tc>
      </w:tr>
      <w:tr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Security Posture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Microsoft Defender for Cloud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spacing w:before="60" w:after="60"/>
              <w:jc w:val="left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CSPM + CWP</w:t>
            </w:r>
          </w:p>
        </w:tc>
      </w:tr>
    </w:tbl>
    <w:p>
      <w:pPr>
        <w:spacing w:before="400"/>
      </w:pPr>
    </w:p>
    <w:p>
      <w:pPr>
        <w:jc w:val="center"/>
      </w:pPr>
      <w:r>
        <w:rPr>
          <w:rFonts w:ascii="Arial" w:cs="Arial" w:eastAsia="Arial" w:hAnsi="Arial"/>
          <w:i/>
          <w:iCs/>
          <w:color w:val="888888"/>
          <w:sz w:val="20"/>
          <w:szCs w:val="20"/>
        </w:rPr>
        <w:t xml:space="preserve">— Ende des Dokuments —</w:t>
      </w:r>
    </w:p>
    <w:sectPr>
      <w:headerReference w:type="default" r:id="rId6"/>
      <w:footerReference w:type="default" r:id="rId7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18"/>
        <w:szCs w:val="18"/>
      </w:rPr>
      <w:t xml:space="preserve">Seite </w:t>
    </w:r>
    <w:r>
      <w:rPr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18"/>
        <w:szCs w:val="18"/>
      </w:rPr>
      <w:t xml:space="preserve"> von </w:t>
    </w:r>
    <w:r>
      <w:rPr>
        <w:sz w:val="18"/>
        <w:szCs w:val="18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color w:val="666666"/>
        <w:sz w:val="18"/>
        <w:szCs w:val="18"/>
      </w:rPr>
      <w:t xml:space="preserve">Azure KI-Architektur – Compliance-konform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Title">
    <w:name w:val="Title"/>
    <w:basedOn w:val="Normal"/>
    <w:pPr>
      <w:spacing w:before="0" w:after="200"/>
      <w:jc w:val="center"/>
    </w:pPr>
    <w:rPr>
      <w:rFonts w:ascii="Arial" w:cs="Arial" w:eastAsia="Arial" w:hAnsi="Arial"/>
      <w:b/>
      <w:bCs/>
      <w:color w:val="1E3A5F"/>
      <w:sz w:val="48"/>
      <w:szCs w:val="48"/>
    </w:rPr>
  </w:style>
  <w:style w:type="paragraph" w:styleId="Heading1">
    <w:name w:val="Heading 1"/>
    <w:basedOn w:val="Normal"/>
    <w:next w:val="Normal"/>
    <w:qFormat/>
    <w:pPr>
      <w:spacing w:before="360" w:after="120"/>
      <w:outlineLvl w:val="0"/>
    </w:pPr>
    <w:rPr>
      <w:rFonts w:ascii="Arial" w:cs="Arial" w:eastAsia="Arial" w:hAnsi="Arial"/>
      <w:b/>
      <w:bCs/>
      <w:color w:val="1E3A5F"/>
      <w:sz w:val="32"/>
      <w:szCs w:val="32"/>
    </w:rPr>
  </w:style>
  <w:style w:type="paragraph" w:styleId="Heading2">
    <w:name w:val="Heading 2"/>
    <w:basedOn w:val="Normal"/>
    <w:next w:val="Normal"/>
    <w:qFormat/>
    <w:pPr>
      <w:spacing w:before="280" w:after="100"/>
      <w:outlineLvl w:val="1"/>
    </w:pPr>
    <w:rPr>
      <w:rFonts w:ascii="Arial" w:cs="Arial" w:eastAsia="Arial" w:hAnsi="Arial"/>
      <w:b/>
      <w:bCs/>
      <w:color w:val="2E5A8F"/>
      <w:sz w:val="26"/>
      <w:szCs w:val="26"/>
    </w:rPr>
  </w:style>
  <w:style w:type="paragraph" w:styleId="Heading3">
    <w:name w:val="Heading 3"/>
    <w:basedOn w:val="Normal"/>
    <w:next w:val="Normal"/>
    <w:qFormat/>
    <w:pPr>
      <w:spacing w:before="240" w:after="80"/>
      <w:outlineLvl w:val="2"/>
    </w:pPr>
    <w:rPr>
      <w:rFonts w:ascii="Arial" w:cs="Arial" w:eastAsia="Arial" w:hAnsi="Arial"/>
      <w:b/>
      <w:bCs/>
      <w:color w:val="3E6A9F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2025-12-08T10:33:06.954Z</dcterms:created>
  <dcterms:modified xsi:type="dcterms:W3CDTF">2025-12-08T10:33:06.954Z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